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738B0">
      <w:pPr>
        <w:adjustRightInd w:val="0"/>
        <w:snapToGrid w:val="0"/>
        <w:spacing w:line="300" w:lineRule="exact"/>
        <w:ind w:left="562"/>
        <w:jc w:val="both"/>
        <w:rPr>
          <w:rFonts w:hint="default" w:ascii="Times New Roman" w:hAnsi="Times New Roman" w:eastAsia="仿宋" w:cs="Times New Roman"/>
          <w:b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color w:val="000000"/>
          <w:sz w:val="24"/>
          <w:szCs w:val="24"/>
          <w:lang w:eastAsia="zh-CN"/>
        </w:rPr>
        <w:t>附件</w:t>
      </w:r>
      <w:r>
        <w:rPr>
          <w:rFonts w:hint="eastAsia" w:ascii="Times New Roman" w:hAnsi="Times New Roman" w:eastAsia="仿宋" w:cs="Times New Roman"/>
          <w:b/>
          <w:color w:val="000000"/>
          <w:sz w:val="24"/>
          <w:szCs w:val="24"/>
          <w:lang w:val="en-US" w:eastAsia="zh-CN"/>
        </w:rPr>
        <w:t>1</w:t>
      </w:r>
    </w:p>
    <w:p w14:paraId="2DECE722">
      <w:pPr>
        <w:adjustRightInd w:val="0"/>
        <w:snapToGrid w:val="0"/>
        <w:spacing w:line="300" w:lineRule="exact"/>
        <w:ind w:left="562"/>
        <w:jc w:val="center"/>
        <w:rPr>
          <w:rFonts w:ascii="Times New Roman" w:hAnsi="Times New Roman" w:eastAsia="仿宋" w:cs="Times New Roman"/>
          <w:b/>
          <w:color w:val="000000"/>
          <w:sz w:val="28"/>
          <w:szCs w:val="28"/>
        </w:rPr>
      </w:pPr>
      <w:bookmarkStart w:id="0" w:name="_GoBack"/>
      <w:r>
        <w:rPr>
          <w:rFonts w:hint="eastAsia" w:ascii="Times New Roman" w:hAnsi="Times New Roman" w:eastAsia="仿宋" w:cs="Times New Roman"/>
          <w:b/>
          <w:color w:val="000000"/>
          <w:sz w:val="28"/>
          <w:szCs w:val="28"/>
        </w:rPr>
        <w:t>青山嘴水库</w:t>
      </w:r>
      <w:r>
        <w:rPr>
          <w:rFonts w:ascii="Times New Roman" w:hAnsi="Times New Roman" w:eastAsia="仿宋" w:cs="Times New Roman"/>
          <w:b/>
          <w:color w:val="000000"/>
          <w:sz w:val="28"/>
          <w:szCs w:val="28"/>
        </w:rPr>
        <w:t>饮用水源保护区</w:t>
      </w:r>
      <w:r>
        <w:rPr>
          <w:rFonts w:hint="eastAsia" w:ascii="Times New Roman" w:hAnsi="Times New Roman" w:eastAsia="仿宋" w:cs="Times New Roman"/>
          <w:b/>
          <w:color w:val="000000"/>
          <w:sz w:val="28"/>
          <w:szCs w:val="28"/>
        </w:rPr>
        <w:t>划定</w:t>
      </w:r>
      <w:r>
        <w:rPr>
          <w:rFonts w:ascii="Times New Roman" w:hAnsi="Times New Roman" w:eastAsia="仿宋" w:cs="Times New Roman"/>
          <w:b/>
          <w:color w:val="000000"/>
          <w:sz w:val="28"/>
          <w:szCs w:val="28"/>
        </w:rPr>
        <w:t>结果表</w:t>
      </w:r>
    </w:p>
    <w:bookmarkEnd w:id="0"/>
    <w:p w14:paraId="5C80A48D">
      <w:pPr>
        <w:adjustRightInd w:val="0"/>
        <w:snapToGrid w:val="0"/>
        <w:spacing w:line="300" w:lineRule="exact"/>
        <w:ind w:left="562"/>
        <w:jc w:val="center"/>
        <w:rPr>
          <w:rFonts w:hint="eastAsia" w:ascii="Times New Roman" w:hAnsi="Times New Roman" w:eastAsia="仿宋" w:cs="Times New Roman"/>
          <w:b/>
          <w:color w:val="000000"/>
          <w:sz w:val="24"/>
          <w:szCs w:val="24"/>
        </w:rPr>
      </w:pP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1219"/>
        <w:gridCol w:w="1440"/>
        <w:gridCol w:w="1296"/>
        <w:gridCol w:w="1154"/>
        <w:gridCol w:w="1440"/>
        <w:gridCol w:w="1874"/>
        <w:gridCol w:w="3203"/>
        <w:gridCol w:w="1324"/>
      </w:tblGrid>
      <w:tr w14:paraId="4DD22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432" w:type="pct"/>
            <w:vMerge w:val="restart"/>
            <w:shd w:val="clear" w:color="auto" w:fill="auto"/>
            <w:vAlign w:val="center"/>
          </w:tcPr>
          <w:p w14:paraId="41128507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430" w:type="pct"/>
            <w:vMerge w:val="restart"/>
            <w:shd w:val="clear" w:color="auto" w:fill="auto"/>
            <w:vAlign w:val="center"/>
          </w:tcPr>
          <w:p w14:paraId="28F789CA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水环境功能类别</w:t>
            </w:r>
          </w:p>
        </w:tc>
        <w:tc>
          <w:tcPr>
            <w:tcW w:w="508" w:type="pct"/>
            <w:vMerge w:val="restart"/>
            <w:shd w:val="clear" w:color="auto" w:fill="auto"/>
            <w:vAlign w:val="center"/>
          </w:tcPr>
          <w:p w14:paraId="4AB4680C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指标名称</w:t>
            </w:r>
          </w:p>
        </w:tc>
        <w:tc>
          <w:tcPr>
            <w:tcW w:w="864" w:type="pct"/>
            <w:gridSpan w:val="2"/>
            <w:shd w:val="clear" w:color="auto" w:fill="auto"/>
            <w:vAlign w:val="center"/>
          </w:tcPr>
          <w:p w14:paraId="0AA7B0A2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一级保护区</w:t>
            </w:r>
          </w:p>
        </w:tc>
        <w:tc>
          <w:tcPr>
            <w:tcW w:w="1169" w:type="pct"/>
            <w:gridSpan w:val="2"/>
            <w:shd w:val="clear" w:color="auto" w:fill="auto"/>
            <w:vAlign w:val="center"/>
          </w:tcPr>
          <w:p w14:paraId="44848B20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二级保护区</w:t>
            </w:r>
          </w:p>
        </w:tc>
        <w:tc>
          <w:tcPr>
            <w:tcW w:w="1597" w:type="pct"/>
            <w:gridSpan w:val="2"/>
            <w:shd w:val="clear" w:color="auto" w:fill="auto"/>
            <w:vAlign w:val="center"/>
          </w:tcPr>
          <w:p w14:paraId="01ECC1EB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准保护区</w:t>
            </w:r>
          </w:p>
        </w:tc>
      </w:tr>
      <w:tr w14:paraId="09061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432" w:type="pct"/>
            <w:vMerge w:val="continue"/>
            <w:shd w:val="clear" w:color="auto" w:fill="auto"/>
            <w:vAlign w:val="center"/>
          </w:tcPr>
          <w:p w14:paraId="10F83A8B">
            <w:pPr>
              <w:jc w:val="center"/>
              <w:rPr>
                <w:rFonts w:ascii="Times New Roman" w:hAnsi="Times New Roman" w:eastAsia="仿宋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vMerge w:val="continue"/>
            <w:shd w:val="clear" w:color="auto" w:fill="auto"/>
            <w:vAlign w:val="center"/>
          </w:tcPr>
          <w:p w14:paraId="4FDEB034">
            <w:pPr>
              <w:jc w:val="center"/>
              <w:rPr>
                <w:rFonts w:ascii="Times New Roman" w:hAnsi="Times New Roman" w:eastAsia="仿宋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8" w:type="pct"/>
            <w:vMerge w:val="continue"/>
            <w:shd w:val="clear" w:color="auto" w:fill="auto"/>
            <w:vAlign w:val="center"/>
          </w:tcPr>
          <w:p w14:paraId="5BD5891B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80890B1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</w:p>
        </w:tc>
        <w:tc>
          <w:tcPr>
            <w:tcW w:w="406" w:type="pct"/>
            <w:shd w:val="clear" w:color="auto" w:fill="auto"/>
            <w:vAlign w:val="center"/>
          </w:tcPr>
          <w:p w14:paraId="6B3E256A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8B20FDC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7780A7BC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</w:p>
        </w:tc>
        <w:tc>
          <w:tcPr>
            <w:tcW w:w="1130" w:type="pct"/>
            <w:shd w:val="clear" w:color="auto" w:fill="auto"/>
            <w:vAlign w:val="center"/>
          </w:tcPr>
          <w:p w14:paraId="5F0DBA55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5545AE9">
            <w:pPr>
              <w:jc w:val="center"/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</w:p>
        </w:tc>
      </w:tr>
      <w:tr w14:paraId="31366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" w:type="pct"/>
            <w:vMerge w:val="restart"/>
            <w:shd w:val="clear" w:color="auto" w:fill="auto"/>
            <w:vAlign w:val="center"/>
          </w:tcPr>
          <w:p w14:paraId="7C85C833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青山嘴水库</w:t>
            </w:r>
          </w:p>
        </w:tc>
        <w:tc>
          <w:tcPr>
            <w:tcW w:w="430" w:type="pct"/>
            <w:vMerge w:val="restart"/>
            <w:shd w:val="clear" w:color="auto" w:fill="auto"/>
            <w:vAlign w:val="center"/>
          </w:tcPr>
          <w:p w14:paraId="69AA374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instrText xml:space="preserve">= 3 \* ROMAN</w:instrTex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III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类</w:t>
            </w:r>
          </w:p>
        </w:tc>
        <w:tc>
          <w:tcPr>
            <w:tcW w:w="508" w:type="pct"/>
            <w:vMerge w:val="restart"/>
            <w:shd w:val="clear" w:color="auto" w:fill="auto"/>
            <w:vAlign w:val="center"/>
          </w:tcPr>
          <w:p w14:paraId="2C37CA1A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面积（km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864" w:type="pct"/>
            <w:gridSpan w:val="2"/>
            <w:shd w:val="clear" w:color="auto" w:fill="auto"/>
            <w:vAlign w:val="center"/>
          </w:tcPr>
          <w:p w14:paraId="5E5D807E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13.51</w:t>
            </w:r>
          </w:p>
        </w:tc>
        <w:tc>
          <w:tcPr>
            <w:tcW w:w="1169" w:type="pct"/>
            <w:gridSpan w:val="2"/>
            <w:shd w:val="clear" w:color="auto" w:fill="auto"/>
            <w:vAlign w:val="center"/>
          </w:tcPr>
          <w:p w14:paraId="1D5C1D0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77.83</w:t>
            </w:r>
          </w:p>
        </w:tc>
        <w:tc>
          <w:tcPr>
            <w:tcW w:w="1597" w:type="pct"/>
            <w:gridSpan w:val="2"/>
            <w:shd w:val="clear" w:color="auto" w:fill="auto"/>
            <w:vAlign w:val="center"/>
          </w:tcPr>
          <w:p w14:paraId="2D2A1F53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1125.95</w:t>
            </w:r>
          </w:p>
        </w:tc>
      </w:tr>
      <w:tr w14:paraId="26D18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" w:type="pct"/>
            <w:vMerge w:val="continue"/>
            <w:shd w:val="clear" w:color="auto" w:fill="auto"/>
            <w:vAlign w:val="center"/>
          </w:tcPr>
          <w:p w14:paraId="5950ADFF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vMerge w:val="continue"/>
            <w:shd w:val="clear" w:color="auto" w:fill="auto"/>
            <w:vAlign w:val="center"/>
          </w:tcPr>
          <w:p w14:paraId="53083BA3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</w:p>
        </w:tc>
        <w:tc>
          <w:tcPr>
            <w:tcW w:w="508" w:type="pct"/>
            <w:vMerge w:val="continue"/>
            <w:shd w:val="clear" w:color="auto" w:fill="auto"/>
            <w:vAlign w:val="center"/>
          </w:tcPr>
          <w:p w14:paraId="013BD4E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3E67A78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5.84</w:t>
            </w:r>
          </w:p>
        </w:tc>
        <w:tc>
          <w:tcPr>
            <w:tcW w:w="406" w:type="pct"/>
            <w:shd w:val="clear" w:color="auto" w:fill="auto"/>
            <w:vAlign w:val="center"/>
          </w:tcPr>
          <w:p w14:paraId="34D77878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7.67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7CBCEB3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0.39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2918369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77.44</w:t>
            </w:r>
          </w:p>
        </w:tc>
        <w:tc>
          <w:tcPr>
            <w:tcW w:w="1130" w:type="pct"/>
            <w:shd w:val="clear" w:color="auto" w:fill="auto"/>
            <w:vAlign w:val="center"/>
          </w:tcPr>
          <w:p w14:paraId="6E87C5DB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6.22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102F16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1119.73</w:t>
            </w:r>
          </w:p>
        </w:tc>
      </w:tr>
      <w:tr w14:paraId="750B0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" w:type="pct"/>
            <w:vMerge w:val="continue"/>
            <w:shd w:val="clear" w:color="auto" w:fill="auto"/>
            <w:vAlign w:val="center"/>
          </w:tcPr>
          <w:p w14:paraId="67EC275A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vMerge w:val="continue"/>
            <w:shd w:val="clear" w:color="auto" w:fill="auto"/>
            <w:vAlign w:val="center"/>
          </w:tcPr>
          <w:p w14:paraId="55667A8F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14:paraId="5B33F5FA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保护区范围</w:t>
            </w:r>
          </w:p>
        </w:tc>
        <w:tc>
          <w:tcPr>
            <w:tcW w:w="864" w:type="pct"/>
            <w:gridSpan w:val="2"/>
            <w:shd w:val="clear" w:color="auto" w:fill="auto"/>
            <w:vAlign w:val="center"/>
          </w:tcPr>
          <w:p w14:paraId="3AAEBD9A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：青山嘴水库正常蓄水位1814.00m以下的全部水域。</w:t>
            </w:r>
          </w:p>
          <w:p w14:paraId="7B64EDF1">
            <w:pP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：青山嘴水库正常蓄水位以下水域向周边缓冲200m范围内的陆域，范围为北侧边界以徐家湾沟渠、斗阁村和丁家咀村庄边界以及环湖公路为界。</w:t>
            </w:r>
          </w:p>
        </w:tc>
        <w:tc>
          <w:tcPr>
            <w:tcW w:w="1169" w:type="pct"/>
            <w:gridSpan w:val="2"/>
            <w:shd w:val="clear" w:color="auto" w:fill="auto"/>
            <w:vAlign w:val="center"/>
          </w:tcPr>
          <w:p w14:paraId="2BC5D4BC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青山嘴水库一级保护区外径向距离不小于2000m的区域为二级保护区（不超过相应的流域分水岭）水域，龙川江入库河流上溯4.6km，西静河从入龙川江河流上溯4.3km，寨子河入库河流上溯2.3km的汇水区域范围内的小型水库。</w:t>
            </w:r>
          </w:p>
          <w:p w14:paraId="5AA0E893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：青山嘴水库一级保护区外径向距离不小于3000m的区域为二级保护区（不超过相应的流域分水岭），范围为西侧和北侧以山脊为界，南侧以紫溪山保护区边界为界的汇水区域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597" w:type="pct"/>
            <w:gridSpan w:val="2"/>
            <w:shd w:val="clear" w:color="auto" w:fill="auto"/>
            <w:vAlign w:val="center"/>
          </w:tcPr>
          <w:p w14:paraId="7D28D898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水域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青山嘴水库二级保护区外径向距离不小于2000m区域的水域（不超过相应的流域分水岭），龙川江入库河流上溯63.68km，紫甸河从入龙川江河流上溯51.08km，寨子河入库河流上溯3.0km，夏家冲河从小星坝水库上溯4.9km的汇水区域范围内的小型水库。</w:t>
            </w:r>
          </w:p>
          <w:p w14:paraId="28724940">
            <w:pP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sz w:val="24"/>
                <w:szCs w:val="24"/>
              </w:rPr>
              <w:t>陆域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：参照《云南省楚雄彝族自治州青山嘴水库管理条例》中一级、二级保护区以外的水库径流区划分为准保护区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Times New Roman" w:hAnsi="Times New Roman" w:eastAsia="仿宋" w:cs="Times New Roman"/>
                <w:color w:val="000000"/>
                <w:sz w:val="24"/>
                <w:szCs w:val="24"/>
              </w:rPr>
              <w:t>青山嘴水库坝址以上流域汇水区除去一级保护区、二级保护区范围内的陆域。</w:t>
            </w:r>
          </w:p>
        </w:tc>
      </w:tr>
    </w:tbl>
    <w:p w14:paraId="39B9DDC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wYmE3ZjgyMzU0ZTQ1YzBhODk3NDE4NmI2NzlhOGYifQ=="/>
  </w:docVars>
  <w:rsids>
    <w:rsidRoot w:val="2FEF60C1"/>
    <w:rsid w:val="2FEF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楚雄州楚雄市党政机关单位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2024-07-26T09:00:00Z</dcterms:created>
  <dc:creator>。</dc:creator>
  <cp:lastModifiedBy>。</cp:lastModifiedBy>
  <dcterms:modified xsi:type="dcterms:W3CDTF">2024-07-26T09:03:39Z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0F9CD3D1660C4034B552CCA397828AD2_11</vt:lpwstr>
  </property>
</Properties>
</file>