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A8" w:rsidRDefault="00C412C3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楚雄市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 w:bidi="ar"/>
        </w:rPr>
        <w:t>4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年重大政策和重点项目</w:t>
      </w:r>
    </w:p>
    <w:p w:rsidR="00A44AA8" w:rsidRDefault="00C412C3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  <w:lang w:bidi="ar"/>
        </w:rPr>
        <w:t>绩效目标说明</w:t>
      </w:r>
    </w:p>
    <w:p w:rsidR="00A44AA8" w:rsidRDefault="00A44AA8">
      <w:pPr>
        <w:pStyle w:val="a0"/>
        <w:rPr>
          <w:sz w:val="32"/>
          <w:szCs w:val="32"/>
          <w:lang w:bidi="ar"/>
        </w:rPr>
      </w:pPr>
    </w:p>
    <w:p w:rsidR="00A44AA8" w:rsidRDefault="00C412C3" w:rsidP="00A46A41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仿宋简体" w:hAnsi="Times New Roman" w:cs="Times New Roman"/>
          <w:bCs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是全面贯彻落实党的二十大精神的开局之年，做好财政经济工作意义重大。要以习近平新时代中国特色社会主义思想为指导，全面贯彻落实党的二十大精神，扎实推进中国式现代化，</w:t>
      </w:r>
      <w:r>
        <w:rPr>
          <w:rFonts w:ascii="Times New Roman" w:eastAsia="方正仿宋简体" w:hAnsi="Times New Roman" w:cs="Times New Roman"/>
          <w:bCs/>
          <w:sz w:val="32"/>
          <w:szCs w:val="32"/>
        </w:rPr>
        <w:t>坚持稳中求进工作总基</w:t>
      </w:r>
      <w:r>
        <w:rPr>
          <w:rFonts w:ascii="Times New Roman" w:eastAsia="方正仿宋简体" w:hAnsi="Times New Roman" w:cs="Times New Roman" w:hint="eastAsia"/>
          <w:bCs/>
          <w:sz w:val="32"/>
          <w:szCs w:val="32"/>
        </w:rPr>
        <w:t>调，</w:t>
      </w:r>
      <w:r>
        <w:rPr>
          <w:rFonts w:ascii="Times New Roman" w:eastAsia="方正仿宋简体" w:hAnsi="Times New Roman" w:cs="Times New Roman"/>
          <w:bCs/>
          <w:spacing w:val="-11"/>
          <w:sz w:val="32"/>
          <w:szCs w:val="32"/>
        </w:rPr>
        <w:t>按照</w:t>
      </w:r>
      <w:r>
        <w:rPr>
          <w:rFonts w:ascii="Times New Roman" w:eastAsia="方正仿宋简体" w:hAnsi="Times New Roman" w:cs="Times New Roman" w:hint="eastAsia"/>
          <w:bCs/>
          <w:spacing w:val="-11"/>
          <w:sz w:val="32"/>
          <w:szCs w:val="32"/>
        </w:rPr>
        <w:t>“</w:t>
      </w:r>
      <w:r>
        <w:rPr>
          <w:rFonts w:ascii="Times New Roman" w:eastAsia="方正仿宋简体" w:hAnsi="Times New Roman" w:cs="Times New Roman"/>
          <w:bCs/>
          <w:spacing w:val="-11"/>
          <w:sz w:val="32"/>
          <w:szCs w:val="32"/>
        </w:rPr>
        <w:t>保</w:t>
      </w:r>
      <w:r>
        <w:rPr>
          <w:rFonts w:ascii="Times New Roman" w:eastAsia="方正仿宋简体" w:hAnsi="Times New Roman" w:cs="Times New Roman" w:hint="eastAsia"/>
          <w:bCs/>
          <w:spacing w:val="-11"/>
          <w:sz w:val="32"/>
          <w:szCs w:val="32"/>
        </w:rPr>
        <w:t>基本民生</w:t>
      </w:r>
      <w:r>
        <w:rPr>
          <w:rFonts w:ascii="Times New Roman" w:eastAsia="方正仿宋简体" w:hAnsi="Times New Roman" w:cs="Times New Roman"/>
          <w:bCs/>
          <w:spacing w:val="-11"/>
          <w:sz w:val="32"/>
          <w:szCs w:val="32"/>
        </w:rPr>
        <w:t>、</w:t>
      </w:r>
      <w:r>
        <w:rPr>
          <w:rFonts w:ascii="Times New Roman" w:eastAsia="方正仿宋简体" w:hAnsi="Times New Roman" w:cs="Times New Roman" w:hint="eastAsia"/>
          <w:bCs/>
          <w:spacing w:val="-11"/>
          <w:sz w:val="32"/>
          <w:szCs w:val="32"/>
        </w:rPr>
        <w:t>保工资、</w:t>
      </w:r>
      <w:r>
        <w:rPr>
          <w:rFonts w:ascii="Times New Roman" w:eastAsia="方正仿宋简体" w:hAnsi="Times New Roman" w:cs="Times New Roman"/>
          <w:bCs/>
          <w:spacing w:val="-11"/>
          <w:sz w:val="32"/>
          <w:szCs w:val="32"/>
        </w:rPr>
        <w:t>保运转、</w:t>
      </w:r>
      <w:r>
        <w:rPr>
          <w:rFonts w:ascii="Times New Roman" w:eastAsia="方正仿宋简体" w:hAnsi="Times New Roman" w:cs="Times New Roman" w:hint="eastAsia"/>
          <w:bCs/>
          <w:spacing w:val="-11"/>
          <w:sz w:val="32"/>
          <w:szCs w:val="32"/>
        </w:rPr>
        <w:t>防风险、守底线”的总体要求和</w:t>
      </w:r>
      <w:r>
        <w:rPr>
          <w:rFonts w:ascii="Times New Roman" w:eastAsia="方正仿宋简体" w:hAnsi="Times New Roman" w:cs="Times New Roman"/>
          <w:bCs/>
          <w:spacing w:val="-11"/>
          <w:sz w:val="32"/>
          <w:szCs w:val="32"/>
        </w:rPr>
        <w:t>顺序安排预算</w:t>
      </w:r>
      <w:r>
        <w:rPr>
          <w:rFonts w:ascii="Times New Roman" w:eastAsia="方正仿宋简体" w:hAnsi="Times New Roman" w:cs="Times New Roman" w:hint="eastAsia"/>
          <w:bCs/>
          <w:spacing w:val="-11"/>
          <w:sz w:val="32"/>
          <w:szCs w:val="32"/>
        </w:rPr>
        <w:t>。</w:t>
      </w:r>
    </w:p>
    <w:p w:rsidR="00A44AA8" w:rsidRDefault="00C412C3" w:rsidP="00A46A4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方正仿宋简体" w:hAnsi="Times New Roman" w:cs="Times New Roman"/>
          <w:sz w:val="32"/>
          <w:szCs w:val="32"/>
        </w:rPr>
        <w:t>为加强各部门预算绩效目标管理水平，实现政策的贯彻落实、政府职能的有效履行和公共财政资源优化配置及效率提高，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市财政</w:t>
      </w:r>
      <w:r>
        <w:rPr>
          <w:rFonts w:ascii="Times New Roman" w:eastAsia="方正仿宋简体" w:hAnsi="Times New Roman" w:cs="Times New Roman"/>
          <w:sz w:val="32"/>
          <w:szCs w:val="32"/>
        </w:rPr>
        <w:t>局委托云南泊江会计师事务所（普通合伙）对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我市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202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4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年部门预算项目开展入库评审和绩效目标审核工作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共评审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1519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个项目，涉及资金</w:t>
      </w:r>
      <w:r>
        <w:rPr>
          <w:rFonts w:ascii="Times New Roman" w:eastAsia="仿宋_GB2312" w:hAnsi="Times New Roman" w:cs="Times New Roman" w:hint="eastAsia"/>
          <w:color w:val="000000" w:themeColor="text1"/>
          <w:spacing w:val="6"/>
          <w:sz w:val="32"/>
          <w:szCs w:val="32"/>
        </w:rPr>
        <w:t>810536.49</w:t>
      </w:r>
      <w:r>
        <w:rPr>
          <w:rFonts w:ascii="仿宋_GB2312" w:eastAsia="仿宋_GB2312" w:hAnsi="Times New Roman" w:cs="Times New Roman"/>
          <w:color w:val="000000" w:themeColor="text1"/>
          <w:spacing w:val="6"/>
          <w:sz w:val="30"/>
          <w:szCs w:val="30"/>
        </w:rPr>
        <w:t>万元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pacing w:val="6"/>
          <w:sz w:val="30"/>
          <w:szCs w:val="30"/>
        </w:rPr>
        <w:t>202</w:t>
      </w:r>
      <w:r>
        <w:rPr>
          <w:rFonts w:ascii="Times New Roman" w:eastAsia="仿宋_GB2312" w:hAnsi="Times New Roman" w:cs="Times New Roman" w:hint="eastAsia"/>
          <w:color w:val="000000" w:themeColor="text1"/>
          <w:spacing w:val="6"/>
          <w:sz w:val="30"/>
          <w:szCs w:val="30"/>
        </w:rPr>
        <w:t>4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年项目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入库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评审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及格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分为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70</w:t>
      </w:r>
      <w:r>
        <w:rPr>
          <w:rFonts w:ascii="Times New Roman" w:eastAsia="方正仿宋简体" w:hAnsi="Times New Roman" w:cs="Times New Roman"/>
          <w:color w:val="000000" w:themeColor="text1"/>
          <w:sz w:val="32"/>
          <w:szCs w:val="32"/>
        </w:rPr>
        <w:t>分，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项目评审平均分为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70.28</w:t>
      </w:r>
      <w:r>
        <w:rPr>
          <w:rFonts w:ascii="Times New Roman" w:eastAsia="方正仿宋简体" w:hAnsi="Times New Roman" w:cs="Times New Roman" w:hint="eastAsia"/>
          <w:color w:val="000000" w:themeColor="text1"/>
          <w:sz w:val="32"/>
          <w:szCs w:val="32"/>
        </w:rPr>
        <w:t>分。</w:t>
      </w:r>
    </w:p>
    <w:p w:rsidR="00A44AA8" w:rsidRDefault="00C412C3" w:rsidP="00A46A41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年我市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重点项目共计</w:t>
      </w:r>
      <w:r w:rsidR="00000F9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个，申报预算金额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39310</w:t>
      </w:r>
      <w:bookmarkStart w:id="0" w:name="_GoBack"/>
      <w:bookmarkEnd w:id="0"/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万元，具体是：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 xml:space="preserve"> </w:t>
      </w:r>
    </w:p>
    <w:p w:rsidR="00A44AA8" w:rsidRDefault="00C412C3" w:rsidP="00A46A4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（一）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增发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2023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年国债城市排水防涝能力提升补助资金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8880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万元，用于完成城区内涝点整治，做到城市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内涝点全消除</w:t>
      </w:r>
      <w:proofErr w:type="gramEnd"/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；完成楚雄市中大街、双建路、气象路、邱家巷、航空路、环城西路、小桥子和鞠王村安置小区北侧道路、彝海印象南侧道路等市政道路新建和改建市政排水管网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29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公里；</w:t>
      </w:r>
    </w:p>
    <w:p w:rsidR="00A44AA8" w:rsidRDefault="00C412C3" w:rsidP="00A46A41">
      <w:pPr>
        <w:spacing w:line="560" w:lineRule="exac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lastRenderedPageBreak/>
        <w:t>完成城区排洪沟清淤，增强城市泄洪能力。</w:t>
      </w:r>
    </w:p>
    <w:p w:rsidR="00A44AA8" w:rsidRDefault="00C412C3" w:rsidP="00A46A41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（二）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增发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2023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年国债高标准农田建设项目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12000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用于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新建楚雄市高标准农田建设项目面积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万亩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项目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选取在相对集中的基本农田实施，建设范围涉及东华镇、子午镇、</w:t>
      </w:r>
      <w:proofErr w:type="gramStart"/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苍岭镇</w:t>
      </w:r>
      <w:proofErr w:type="gramEnd"/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、吕合镇、</w:t>
      </w:r>
      <w:proofErr w:type="gramStart"/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东瓜镇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个</w:t>
      </w:r>
      <w:proofErr w:type="gramEnd"/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乡镇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14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个村委会，分为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5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个片区实施。</w:t>
      </w:r>
    </w:p>
    <w:p w:rsidR="00A44AA8" w:rsidRDefault="00C412C3" w:rsidP="00A46A41">
      <w:pPr>
        <w:widowControl/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（三）增发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2023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年国债水利领域项目补助资金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12930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万元，用于子午罐区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10200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万元，完成批准的全部灌区建设任务，达到设计的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100%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；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白衣河</w:t>
      </w:r>
      <w:proofErr w:type="gramEnd"/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水库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2600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，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年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4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月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30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日之前完成抬头坝填筑，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12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月底完成坝体填筑，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2024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年底完成全部资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金支出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；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青龙河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，完成青龙河河道治理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3.06km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。</w:t>
      </w:r>
    </w:p>
    <w:p w:rsidR="00A46A41" w:rsidRPr="00A46A41" w:rsidRDefault="00C412C3" w:rsidP="00A46A4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（</w:t>
      </w:r>
      <w:r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四</w:t>
      </w:r>
      <w:r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）</w:t>
      </w:r>
      <w:r w:rsidR="00A46A41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“</w:t>
      </w:r>
      <w:r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月月有主题节节有活动</w:t>
      </w:r>
      <w:r w:rsidR="00A46A41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”</w:t>
      </w:r>
      <w:r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经费</w:t>
      </w:r>
      <w:r w:rsidR="009B5D4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4</w:t>
      </w:r>
      <w:r w:rsidR="005221B6"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00</w:t>
      </w:r>
      <w:r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万元，用于</w:t>
      </w:r>
      <w:r w:rsidR="00A46A41"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在</w:t>
      </w:r>
      <w:r w:rsidR="00A46A41"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春节、元宵节、清明节、端午节、七夕节、中秋节、重阳节等中华传统节日，元旦节、三八妇女节、五一劳动节、五四青年节、六一儿童节、七一建党节、八一建军节、教师节、国庆节等现代节日，以及学雷锋纪念日、世界读书日、生物多样性日、六五国际环境日、低碳日、抗战纪念日、烈士纪念日、国家</w:t>
      </w:r>
      <w:proofErr w:type="gramStart"/>
      <w:r w:rsidR="00A46A41"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公祭日</w:t>
      </w:r>
      <w:proofErr w:type="gramEnd"/>
      <w:r w:rsidR="00A46A41"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等重要时间节点，在全市组织开展丰富多彩的学习经典、经典诵读、宣传宣讲、节日民俗、纪念、文化娱乐和体育健身活动。通过群众文化活动项目的实施，提升我市特色文化内涵，传承优秀文化遗产，提高我市特色优</w:t>
      </w:r>
      <w:r w:rsidR="00A46A41" w:rsidRPr="00A46A41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lastRenderedPageBreak/>
        <w:t>秀传统文化和艺术品牌的影响力；丰富广大人民群众的精神文化生活，营造积极的社会效应，提升群众对文化事业、文化强市建设的广泛认可和积极参与；带动本地文化产业发展。</w:t>
      </w:r>
    </w:p>
    <w:p w:rsidR="00A44AA8" w:rsidRDefault="00C412C3" w:rsidP="00A46A41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五</w:t>
      </w:r>
      <w:r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  <w:lang w:bidi="ar"/>
        </w:rPr>
        <w:t>）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为满足广大人民群众对教育高质量和改善办学条件的需求，改善育人环境，提升教育教学质量，保障学前教育发展，化解债务风险，保障学生受教育权利，办好人民满意的教育，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2024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年申请教育费附加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5100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万元，主要用于义务教育薄弱学校房屋建筑物建设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3912.39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万元，幼儿园（东城、新苗、西城）办园租金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135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万元，偿还欠债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2523.22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万元，学校设施设备购置资金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567.62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万元，教师培训费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255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万元，安全应急工作经费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30</w:t>
      </w:r>
      <w:r w:rsidR="00F8650A" w:rsidRPr="00F8650A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  <w:lang w:bidi="ar"/>
        </w:rPr>
        <w:t>万元。</w:t>
      </w:r>
    </w:p>
    <w:sectPr w:rsidR="00A44AA8">
      <w:pgSz w:w="11906" w:h="16838"/>
      <w:pgMar w:top="2098" w:right="1800" w:bottom="1984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jZjI5NTFkNWU0NTI2MmUxYTA4ODA2YmQxNTllY2YifQ=="/>
  </w:docVars>
  <w:rsids>
    <w:rsidRoot w:val="46AC27B9"/>
    <w:rsid w:val="00000F9E"/>
    <w:rsid w:val="00031C01"/>
    <w:rsid w:val="00181A90"/>
    <w:rsid w:val="001F7671"/>
    <w:rsid w:val="0024766E"/>
    <w:rsid w:val="002A038B"/>
    <w:rsid w:val="005221B6"/>
    <w:rsid w:val="008C0012"/>
    <w:rsid w:val="009B5D4D"/>
    <w:rsid w:val="00A44AA8"/>
    <w:rsid w:val="00A46A41"/>
    <w:rsid w:val="00AA5CDF"/>
    <w:rsid w:val="00C412C3"/>
    <w:rsid w:val="00D24ADF"/>
    <w:rsid w:val="00E13C7D"/>
    <w:rsid w:val="00F8650A"/>
    <w:rsid w:val="00FC653B"/>
    <w:rsid w:val="02FD177C"/>
    <w:rsid w:val="08600A18"/>
    <w:rsid w:val="0A6B3396"/>
    <w:rsid w:val="0B243CD6"/>
    <w:rsid w:val="0D5C6C13"/>
    <w:rsid w:val="14AF0DA9"/>
    <w:rsid w:val="230D495E"/>
    <w:rsid w:val="25AC0D49"/>
    <w:rsid w:val="312C05F6"/>
    <w:rsid w:val="358B7D24"/>
    <w:rsid w:val="39574594"/>
    <w:rsid w:val="41155768"/>
    <w:rsid w:val="46AC27B9"/>
    <w:rsid w:val="47821CCC"/>
    <w:rsid w:val="47E02E14"/>
    <w:rsid w:val="484F10B3"/>
    <w:rsid w:val="4885155C"/>
    <w:rsid w:val="49663FF2"/>
    <w:rsid w:val="4F615B58"/>
    <w:rsid w:val="4FC244DB"/>
    <w:rsid w:val="51D41E26"/>
    <w:rsid w:val="55406EFC"/>
    <w:rsid w:val="56A61BE2"/>
    <w:rsid w:val="5E424FDE"/>
    <w:rsid w:val="5EC0141B"/>
    <w:rsid w:val="608B4106"/>
    <w:rsid w:val="645D3041"/>
    <w:rsid w:val="64EC646B"/>
    <w:rsid w:val="67FC2067"/>
    <w:rsid w:val="6C740783"/>
    <w:rsid w:val="6DBE6BCD"/>
    <w:rsid w:val="6E695F8C"/>
    <w:rsid w:val="711D10E5"/>
    <w:rsid w:val="7CAB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Times New Roman" w:hAnsi="Times New Roma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61">
    <w:name w:val="font61"/>
    <w:basedOn w:val="a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1"/>
    <w:rPr>
      <w:rFonts w:ascii="Arial" w:hAnsi="Arial" w:cs="Arial" w:hint="default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Pr>
      <w:rFonts w:ascii="Times New Roman" w:hAnsi="Times New Roman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font61">
    <w:name w:val="font61"/>
    <w:basedOn w:val="a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1"/>
    <w:rPr>
      <w:rFonts w:ascii="Arial" w:hAnsi="Arial" w:cs="Arial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dyx889</dc:creator>
  <cp:lastModifiedBy>Administrator</cp:lastModifiedBy>
  <cp:revision>12</cp:revision>
  <dcterms:created xsi:type="dcterms:W3CDTF">2023-03-14T07:39:00Z</dcterms:created>
  <dcterms:modified xsi:type="dcterms:W3CDTF">2024-02-02T00:51:00Z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878BF75A52A64185B07F07DCD5AC22F6</vt:lpwstr>
  </property>
</Properties>
</file>